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ЦИФРОВОГО ПРОФИЛИРОВАНИЯ КОМПЕТЕНЦИЙ И ИНТЕЛЛЕКТУАЛЬНОГО РАСПРЕДЕЛЕНИЯ КАДРОВОГО ПОТЕНЦИАЛА «МАТРИЦА НАВЫКОВ»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СПИСОК БИБЛИОТЕК И КОМПОНЕНТОВ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Перечень библиотек и компонентов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Использование компилятора и сборки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Инфраструктурные компоненты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Заключение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 содержит перечень библиотек, компонентов и инфраструктурных средств, используемых при разработке и функционировании программного продукта «МАТРИЦА НАВЫКОВ».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Правообладатель: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</w:t>
      </w:r>
    </w:p>
    <w:p>
      <w:pPr>
        <w:pStyle w:val="Heading1"/>
      </w:pPr>
      <w:r>
        <w:rPr>
          <w:rFonts w:ascii="Arial" w:hAnsi="Arial" w:eastAsia="Arial"/>
          <w:sz w:val="22"/>
        </w:rPr>
        <w:t>2. Перечень библиотек и компонентов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5"/>
        <w:gridCol w:w="2465"/>
        <w:gridCol w:w="2465"/>
        <w:gridCol w:w="2465"/>
      </w:tblGrid>
      <w:tr>
        <w:trPr>
          <w:cantSplit/>
        </w:trPr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Назначение</w:t>
            </w:r>
          </w:p>
        </w:tc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Ссылка</w:t>
            </w:r>
          </w:p>
        </w:tc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Лицензия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React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построение пользовательского интерфейса WEB-приложения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https://react.dev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TypeScript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типизация исходного кода и повышение надежности разработки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https://www.typescriptlang.org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JavaScript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исполнение клиентской логики в браузере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https://tc39.es/ecma262/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ECMAScript specification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TanStack Router / Start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маршрутизация и структура WEB-приложения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https://tanstack.com/router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TanStack Query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получение, кэширование и синхронизация серверных данных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https://tanstack.com/query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Tailwind CSS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утилитарная стилизация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https://tailwindcss.com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shadcn/ui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набор UI-компонентов для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https://ui.shadcn.com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Radix UI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доступные базовые компоненты пользовательского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https://www.radix-ui.com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lucide-react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иконки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https://lucide.dev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ISC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Recharts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визуализация графиков и аналитических показателей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https://recharts.org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Supabase JS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клиентская библиотека доступа к Supabase API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https://supabase.com/docs/reference/javascript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реляционная база данных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https://www.postgresql.org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 License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Supabase Auth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аутентификация и управление сессиями пользователей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https://supabase.com/auth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 / Supabase terms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Zod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валидация данных и схем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https://zod.dev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React Hook Form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формами и пользовательским вводом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https://react-hook-form.com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date-fns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работа с датами и форматированием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https://date-fns.org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class-variance-authority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варианты стилей UI-компонентов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https://cva.style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clsx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условное объединение CSS-классов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https://github.com/lukeed/clsx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tailwind-merge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корректное объединение классов Tailwind CSS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https://github.com/dcastil/tailwind-merge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Sonner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уведомления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https://sonner.emilkowal.ski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Node.js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среда выполнения и toolchain сборки WEB-приложения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https://nodejs.org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WEB-сервер и обратный прокси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https://nginx.org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BSD-2-Clause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Docker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контейнеризация инфраструктурных компонентов при необходимости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https://www.docker.com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 for engine components / Docker terms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3. Использование компилятора и сборки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При разработке программного комплекса используется сборка WEB-приложения из TypeScript/TSX-кода в JavaScript, HTML и CSS. Нативный компилятор для формирования исполняемых файлов под отдельные операционные системы не используется. Преобразование TypeScript-кода выполняется средствами TypeScript и сборщика проекта в составе Node.js toolchain.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Дополнительные серверные функции и runtime-компоненты используются в составе WEB-инфраструктуры экземпляра программного продукта и не требуют установки на рабочем месте пользователя.</w:t>
      </w:r>
    </w:p>
    <w:p>
      <w:pPr>
        <w:pStyle w:val="Heading1"/>
      </w:pPr>
      <w:r>
        <w:rPr>
          <w:rFonts w:ascii="Arial" w:hAnsi="Arial" w:eastAsia="Arial"/>
          <w:sz w:val="22"/>
        </w:rPr>
        <w:t>4. Инфраструктурные компоненты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 в эксплуатации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Российский VPS/сервер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размещение экземпляра программного продукта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обслуживание HTTP/HTTPS-запросов и обратное проксирование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PostgreSQL/Supabase PostgreSQL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хранение структурированных данных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Node.js toolchain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сборка WEB-приложения и выполнение серверных компонентов при необходимости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защищенный доступ пользователей к сайту и кабинету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Заключение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Перечисленные компоненты используются для функционирования WEB-приложения, серверного размещения, хранения данных, аутентификации, визуализации интерфейса и обеспечения доступности экземпляра программного продукта через браузер.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«МАТРИЦА НАВЫКОВ».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«МАТРИЦА НАВЫКОВ»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