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rFonts w:ascii="Arial" w:hAnsi="Arial" w:eastAsia="Arial"/>
          <w:b/>
          <w:sz w:val="32"/>
        </w:rPr>
        <w:t>СИСТЕМА ЦИФРОВОГО ПРОФИЛИРОВАНИЯ КОМПЕТЕНЦИЙ И ИНТЕЛЛЕКТУАЛЬНОГО РАСПРЕДЕЛЕНИЯ КАДРОВОГО ПОТЕНЦИАЛА «МАТРИЦА НАВЫКОВ»</w:t>
      </w:r>
    </w:p>
    <w:p>
      <w:pPr>
        <w:pStyle w:val="Title"/>
        <w:jc w:val="center"/>
      </w:pPr>
      <w:r>
        <w:rPr>
          <w:rFonts w:ascii="Arial" w:hAnsi="Arial" w:eastAsia="Arial"/>
          <w:b/>
          <w:sz w:val="30"/>
        </w:rPr>
        <w:t>СПИСОК БИБЛИОТЕК И КОМПОНЕНТОВ</w:t>
      </w:r>
    </w:p>
    <w:p>
      <w:pPr>
        <w:jc w:val="left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29"/>
        <w:gridCol w:w="4929"/>
      </w:tblGrid>
      <w:tr>
        <w:tc>
          <w:tcPr>
            <w:tcW w:type="dxa" w:w="4929"/>
            <w:shd w:fill="F2F2F2"/>
          </w:tcPr>
          <w:p>
            <w:pPr>
              <w:jc w:val="left"/>
            </w:pPr>
            <w:r>
              <w:rPr>
                <w:rFonts w:ascii="Arial" w:hAnsi="Arial" w:eastAsia="Arial"/>
                <w:b/>
                <w:sz w:val="20"/>
              </w:rPr>
            </w:r>
            <w:r>
              <w:rPr>
                <w:rFonts w:ascii="Arial" w:hAnsi="Arial" w:eastAsia="Arial"/>
                <w:b/>
                <w:sz w:val="20"/>
              </w:rPr>
              <w:t>Версия документа</w:t>
            </w:r>
          </w:p>
        </w:tc>
        <w:tc>
          <w:tcPr>
            <w:tcW w:type="dxa" w:w="4929"/>
          </w:tcPr>
          <w:p>
            <w:pPr>
              <w:jc w:val="left"/>
            </w:pPr>
            <w:r>
              <w:rPr>
                <w:rFonts w:ascii="Arial" w:hAnsi="Arial" w:eastAsia="Arial"/>
                <w:sz w:val="20"/>
              </w:rPr>
            </w:r>
            <w:r>
              <w:rPr>
                <w:rFonts w:ascii="Arial" w:hAnsi="Arial" w:eastAsia="Arial"/>
                <w:sz w:val="20"/>
              </w:rPr>
              <w:t>1.0</w:t>
            </w:r>
          </w:p>
        </w:tc>
      </w:tr>
      <w:tr>
        <w:tc>
          <w:tcPr>
            <w:tcW w:type="dxa" w:w="4929"/>
            <w:shd w:fill="F2F2F2"/>
          </w:tcPr>
          <w:p>
            <w:pPr>
              <w:jc w:val="left"/>
            </w:pPr>
            <w:r>
              <w:rPr>
                <w:rFonts w:ascii="Arial" w:hAnsi="Arial" w:eastAsia="Arial"/>
                <w:b/>
                <w:sz w:val="20"/>
              </w:rPr>
            </w:r>
            <w:r>
              <w:rPr>
                <w:rFonts w:ascii="Arial" w:hAnsi="Arial" w:eastAsia="Arial"/>
                <w:b/>
                <w:sz w:val="20"/>
              </w:rPr>
              <w:t>Год</w:t>
            </w:r>
          </w:p>
        </w:tc>
        <w:tc>
          <w:tcPr>
            <w:tcW w:type="dxa" w:w="4929"/>
          </w:tcPr>
          <w:p>
            <w:pPr>
              <w:jc w:val="left"/>
            </w:pPr>
            <w:r>
              <w:rPr>
                <w:rFonts w:ascii="Arial" w:hAnsi="Arial" w:eastAsia="Arial"/>
                <w:sz w:val="20"/>
              </w:rPr>
            </w:r>
            <w:r>
              <w:rPr>
                <w:rFonts w:ascii="Arial" w:hAnsi="Arial" w:eastAsia="Arial"/>
                <w:sz w:val="20"/>
              </w:rPr>
              <w:t>2026</w:t>
            </w:r>
          </w:p>
        </w:tc>
      </w:tr>
      <w:tr>
        <w:tc>
          <w:tcPr>
            <w:tcW w:type="dxa" w:w="4929"/>
            <w:shd w:fill="F2F2F2"/>
          </w:tcPr>
          <w:p>
            <w:pPr>
              <w:jc w:val="left"/>
            </w:pPr>
            <w:r>
              <w:rPr>
                <w:rFonts w:ascii="Arial" w:hAnsi="Arial" w:eastAsia="Arial"/>
                <w:b/>
                <w:sz w:val="20"/>
              </w:rPr>
            </w:r>
            <w:r>
              <w:rPr>
                <w:rFonts w:ascii="Arial" w:hAnsi="Arial" w:eastAsia="Arial"/>
                <w:b/>
                <w:sz w:val="20"/>
              </w:rPr>
              <w:t>Основной сайт продукта</w:t>
            </w:r>
          </w:p>
        </w:tc>
        <w:tc>
          <w:tcPr>
            <w:tcW w:type="dxa" w:w="4929"/>
          </w:tcPr>
          <w:p>
            <w:pPr>
              <w:jc w:val="left"/>
            </w:pPr>
            <w:r>
              <w:rPr>
                <w:rFonts w:ascii="Arial" w:hAnsi="Arial" w:eastAsia="Arial"/>
                <w:sz w:val="20"/>
              </w:rPr>
            </w:r>
            <w:r>
              <w:rPr>
                <w:rFonts w:ascii="Arial" w:hAnsi="Arial" w:eastAsia="Arial"/>
                <w:sz w:val="20"/>
              </w:rPr>
              <w:t>https://arm-matrix.ru</w:t>
            </w:r>
          </w:p>
        </w:tc>
      </w:tr>
      <w:tr>
        <w:tc>
          <w:tcPr>
            <w:tcW w:type="dxa" w:w="4929"/>
            <w:shd w:fill="F2F2F2"/>
          </w:tcPr>
          <w:p>
            <w:pPr>
              <w:jc w:val="left"/>
            </w:pPr>
            <w:r>
              <w:rPr>
                <w:rFonts w:ascii="Arial" w:hAnsi="Arial" w:eastAsia="Arial"/>
                <w:b/>
                <w:sz w:val="20"/>
              </w:rPr>
            </w:r>
            <w:r>
              <w:rPr>
                <w:rFonts w:ascii="Arial" w:hAnsi="Arial" w:eastAsia="Arial"/>
                <w:b/>
                <w:sz w:val="20"/>
              </w:rPr>
              <w:t>Экземпляр ПО для экспертной проверки</w:t>
            </w:r>
          </w:p>
        </w:tc>
        <w:tc>
          <w:tcPr>
            <w:tcW w:type="dxa" w:w="4929"/>
          </w:tcPr>
          <w:p>
            <w:pPr>
              <w:jc w:val="left"/>
            </w:pPr>
            <w:r>
              <w:rPr>
                <w:rFonts w:ascii="Arial" w:hAnsi="Arial" w:eastAsia="Arial"/>
                <w:sz w:val="20"/>
              </w:rPr>
            </w:r>
            <w:r>
              <w:rPr>
                <w:rFonts w:ascii="Arial" w:hAnsi="Arial" w:eastAsia="Arial"/>
                <w:sz w:val="20"/>
              </w:rPr>
              <w:t>https://user.arm-matrix.ru</w:t>
            </w:r>
          </w:p>
        </w:tc>
      </w:tr>
      <w:tr>
        <w:tc>
          <w:tcPr>
            <w:tcW w:type="dxa" w:w="4929"/>
            <w:shd w:fill="F2F2F2"/>
          </w:tcPr>
          <w:p>
            <w:pPr>
              <w:jc w:val="left"/>
            </w:pPr>
            <w:r>
              <w:rPr>
                <w:rFonts w:ascii="Arial" w:hAnsi="Arial" w:eastAsia="Arial"/>
                <w:b/>
                <w:sz w:val="20"/>
              </w:rPr>
            </w:r>
            <w:r>
              <w:rPr>
                <w:rFonts w:ascii="Arial" w:hAnsi="Arial" w:eastAsia="Arial"/>
                <w:b/>
                <w:sz w:val="20"/>
              </w:rPr>
              <w:t>Страница документации</w:t>
            </w:r>
          </w:p>
        </w:tc>
        <w:tc>
          <w:tcPr>
            <w:tcW w:type="dxa" w:w="4929"/>
          </w:tcPr>
          <w:p>
            <w:pPr>
              <w:jc w:val="left"/>
            </w:pPr>
            <w:r>
              <w:rPr>
                <w:rFonts w:ascii="Arial" w:hAnsi="Arial" w:eastAsia="Arial"/>
                <w:sz w:val="20"/>
              </w:rPr>
            </w:r>
            <w:r>
              <w:rPr>
                <w:rFonts w:ascii="Arial" w:hAnsi="Arial" w:eastAsia="Arial"/>
                <w:sz w:val="20"/>
              </w:rPr>
              <w:t>https://arm-matrix.ru/docs</w:t>
            </w:r>
          </w:p>
        </w:tc>
      </w:tr>
      <w:tr>
        <w:tc>
          <w:tcPr>
            <w:tcW w:type="dxa" w:w="4929"/>
            <w:shd w:fill="F2F2F2"/>
          </w:tcPr>
          <w:p>
            <w:pPr>
              <w:jc w:val="left"/>
            </w:pPr>
            <w:r>
              <w:rPr>
                <w:rFonts w:ascii="Arial" w:hAnsi="Arial" w:eastAsia="Arial"/>
                <w:b/>
                <w:sz w:val="20"/>
              </w:rPr>
            </w:r>
            <w:r>
              <w:rPr>
                <w:rFonts w:ascii="Arial" w:hAnsi="Arial" w:eastAsia="Arial"/>
                <w:b/>
                <w:sz w:val="20"/>
              </w:rPr>
              <w:t>Правообладатель</w:t>
            </w:r>
          </w:p>
        </w:tc>
        <w:tc>
          <w:tcPr>
            <w:tcW w:type="dxa" w:w="4929"/>
          </w:tcPr>
          <w:p>
            <w:pPr>
              <w:jc w:val="left"/>
            </w:pPr>
            <w:r>
              <w:rPr>
                <w:rFonts w:ascii="Arial" w:hAnsi="Arial" w:eastAsia="Arial"/>
                <w:sz w:val="20"/>
              </w:rPr>
            </w:r>
            <w:r>
              <w:rPr>
                <w:rFonts w:ascii="Arial" w:hAnsi="Arial" w:eastAsia="Arial"/>
                <w:b/>
                <w:sz w:val="20"/>
              </w:rPr>
              <w:t>ИП Смыченко А. Е.</w:t>
            </w:r>
          </w:p>
        </w:tc>
      </w:tr>
    </w:tbl>
    <w:p>
      <w:pPr>
        <w:jc w:val="left"/>
      </w:pPr>
      <w:r>
        <w:rPr>
          <w:rFonts w:ascii="Arial" w:hAnsi="Arial" w:eastAsia="Arial"/>
        </w:rPr>
        <w:br w:type="page"/>
      </w:r>
    </w:p>
    <w:p>
      <w:pPr>
        <w:pStyle w:val="Heading1"/>
        <w:jc w:val="center"/>
      </w:pPr>
      <w:r>
        <w:rPr>
          <w:rFonts w:ascii="Arial" w:hAnsi="Arial" w:eastAsia="Arial"/>
        </w:rPr>
        <w:t>Содержание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1. Общие сведения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2. Перечень библиотек и компонентов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3. Использование компилятора и сборки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4. Инфраструктурные компоненты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5. Заключение</w:t>
      </w:r>
    </w:p>
    <w:p>
      <w:pPr>
        <w:jc w:val="left"/>
      </w:pPr>
      <w:r>
        <w:rPr>
          <w:rFonts w:ascii="Arial" w:hAnsi="Arial" w:eastAsia="Arial"/>
        </w:rPr>
        <w:br w:type="page"/>
      </w:r>
    </w:p>
    <w:p>
      <w:pPr>
        <w:pStyle w:val="Heading1"/>
      </w:pPr>
      <w:r>
        <w:rPr>
          <w:rFonts w:ascii="Arial" w:hAnsi="Arial" w:eastAsia="Arial"/>
          <w:sz w:val="22"/>
        </w:rPr>
        <w:t>1. Общие сведения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Документ содержит перечень библиотек, компонентов и инфраструктурных средств, используемых при разработке и функционировании программного продукта «МАТРИЦА НАВЫКОВ».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 xml:space="preserve">Правообладатель: </w:t>
      </w:r>
      <w:r>
        <w:rPr>
          <w:rFonts w:ascii="Arial" w:hAnsi="Arial" w:eastAsia="Arial"/>
          <w:b/>
          <w:sz w:val="22"/>
        </w:rPr>
        <w:t>ИП Смыченко А. Е.</w:t>
      </w:r>
      <w:r>
        <w:rPr>
          <w:rFonts w:ascii="Arial" w:hAnsi="Arial" w:eastAsia="Arial"/>
          <w:sz w:val="22"/>
        </w:rPr>
        <w:t>.</w:t>
      </w:r>
    </w:p>
    <w:p>
      <w:pPr>
        <w:pStyle w:val="Heading1"/>
      </w:pPr>
      <w:r>
        <w:rPr>
          <w:rFonts w:ascii="Arial" w:hAnsi="Arial" w:eastAsia="Arial"/>
          <w:sz w:val="22"/>
        </w:rPr>
        <w:t>2. Перечень библиотек и компонентов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65"/>
        <w:gridCol w:w="2465"/>
        <w:gridCol w:w="2465"/>
        <w:gridCol w:w="2465"/>
      </w:tblGrid>
      <w:tr>
        <w:trPr>
          <w:cantSplit/>
        </w:trPr>
        <w:tc>
          <w:tcPr>
            <w:tcW w:type="dxa" w:w="2465"/>
            <w:vAlign w:val="center"/>
            <w:shd w:fill="EDEDED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b/>
                <w:sz w:val="18"/>
              </w:rPr>
            </w:r>
            <w:r>
              <w:rPr>
                <w:rFonts w:ascii="Arial" w:hAnsi="Arial" w:eastAsia="Arial"/>
                <w:b/>
                <w:sz w:val="18"/>
              </w:rPr>
              <w:t>Компонент</w:t>
            </w:r>
          </w:p>
        </w:tc>
        <w:tc>
          <w:tcPr>
            <w:tcW w:type="dxa" w:w="2465"/>
            <w:vAlign w:val="center"/>
            <w:shd w:fill="EDEDED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b/>
                <w:sz w:val="18"/>
              </w:rPr>
            </w:r>
            <w:r>
              <w:rPr>
                <w:rFonts w:ascii="Arial" w:hAnsi="Arial" w:eastAsia="Arial"/>
                <w:b/>
                <w:sz w:val="18"/>
              </w:rPr>
              <w:t>Назначение</w:t>
            </w:r>
          </w:p>
        </w:tc>
        <w:tc>
          <w:tcPr>
            <w:tcW w:type="dxa" w:w="2465"/>
            <w:vAlign w:val="center"/>
            <w:shd w:fill="EDEDED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b/>
                <w:sz w:val="18"/>
              </w:rPr>
            </w:r>
            <w:r>
              <w:rPr>
                <w:rFonts w:ascii="Arial" w:hAnsi="Arial" w:eastAsia="Arial"/>
                <w:b/>
                <w:sz w:val="18"/>
              </w:rPr>
              <w:t>Ссылка</w:t>
            </w:r>
          </w:p>
        </w:tc>
        <w:tc>
          <w:tcPr>
            <w:tcW w:type="dxa" w:w="2465"/>
            <w:vAlign w:val="center"/>
            <w:shd w:fill="EDEDED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b/>
                <w:sz w:val="18"/>
              </w:rPr>
            </w:r>
            <w:r>
              <w:rPr>
                <w:rFonts w:ascii="Arial" w:hAnsi="Arial" w:eastAsia="Arial"/>
                <w:b/>
                <w:sz w:val="18"/>
              </w:rPr>
              <w:t>Лицензия</w:t>
            </w:r>
          </w:p>
        </w:tc>
      </w:tr>
      <w:tr>
        <w:trPr>
          <w:cantSplit/>
        </w:trPr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React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построение пользовательского интерфейса WEB-приложения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https://react.dev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MIT</w:t>
            </w:r>
          </w:p>
        </w:tc>
      </w:tr>
      <w:tr>
        <w:trPr>
          <w:cantSplit/>
        </w:trPr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TypeScript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типизация исходного кода и повышение надежности разработки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https://www.typescriptlang.org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Apache-2.0</w:t>
            </w:r>
          </w:p>
        </w:tc>
      </w:tr>
      <w:tr>
        <w:trPr>
          <w:cantSplit/>
        </w:trPr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JavaScript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исполнение клиентской логики в браузере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https://tc39.es/ecma262/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ECMAScript specification</w:t>
            </w:r>
          </w:p>
        </w:tc>
      </w:tr>
      <w:tr>
        <w:trPr>
          <w:cantSplit/>
        </w:trPr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TanStack Router / Start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маршрутизация и структура WEB-приложения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https://tanstack.com/router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MIT</w:t>
            </w:r>
          </w:p>
        </w:tc>
      </w:tr>
      <w:tr>
        <w:trPr>
          <w:cantSplit/>
        </w:trPr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TanStack Query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получение, кэширование и синхронизация серверных данных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https://tanstack.com/query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MIT</w:t>
            </w:r>
          </w:p>
        </w:tc>
      </w:tr>
      <w:tr>
        <w:trPr>
          <w:cantSplit/>
        </w:trPr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Tailwind CSS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утилитарная стилизация интерфейса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https://tailwindcss.com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MIT</w:t>
            </w:r>
          </w:p>
        </w:tc>
      </w:tr>
      <w:tr>
        <w:trPr>
          <w:cantSplit/>
        </w:trPr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shadcn/ui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набор UI-компонентов для интерфейса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https://ui.shadcn.com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MIT</w:t>
            </w:r>
          </w:p>
        </w:tc>
      </w:tr>
      <w:tr>
        <w:trPr>
          <w:cantSplit/>
        </w:trPr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Radix UI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доступные базовые компоненты пользовательского интерфейса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https://www.radix-ui.com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MIT</w:t>
            </w:r>
          </w:p>
        </w:tc>
      </w:tr>
      <w:tr>
        <w:trPr>
          <w:cantSplit/>
        </w:trPr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lucide-react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иконки интерфейса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https://lucide.dev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ISC</w:t>
            </w:r>
          </w:p>
        </w:tc>
      </w:tr>
      <w:tr>
        <w:trPr>
          <w:cantSplit/>
        </w:trPr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Recharts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визуализация графиков и аналитических показателей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https://recharts.org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MIT</w:t>
            </w:r>
          </w:p>
        </w:tc>
      </w:tr>
      <w:tr>
        <w:trPr>
          <w:cantSplit/>
        </w:trPr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Supabase JS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клиентская библиотека доступа к Supabase API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https://supabase.com/docs/reference/javascript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MIT</w:t>
            </w:r>
          </w:p>
        </w:tc>
      </w:tr>
      <w:tr>
        <w:trPr>
          <w:cantSplit/>
        </w:trPr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PostgreSQL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реляционная база данных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https://www.postgresql.org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PostgreSQL License</w:t>
            </w:r>
          </w:p>
        </w:tc>
      </w:tr>
      <w:tr>
        <w:trPr>
          <w:cantSplit/>
        </w:trPr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Supabase Auth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аутентификация и управление сессиями пользователей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https://supabase.com/auth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Apache-2.0 / Supabase terms</w:t>
            </w:r>
          </w:p>
        </w:tc>
      </w:tr>
      <w:tr>
        <w:trPr>
          <w:cantSplit/>
        </w:trPr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Zod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валидация данных и схем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https://zod.dev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MIT</w:t>
            </w:r>
          </w:p>
        </w:tc>
      </w:tr>
      <w:tr>
        <w:trPr>
          <w:cantSplit/>
        </w:trPr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React Hook Form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управление формами и пользовательским вводом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https://react-hook-form.com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MIT</w:t>
            </w:r>
          </w:p>
        </w:tc>
      </w:tr>
      <w:tr>
        <w:trPr>
          <w:cantSplit/>
        </w:trPr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date-fns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работа с датами и форматированием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https://date-fns.org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MIT</w:t>
            </w:r>
          </w:p>
        </w:tc>
      </w:tr>
      <w:tr>
        <w:trPr>
          <w:cantSplit/>
        </w:trPr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class-variance-authority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варианты стилей UI-компонентов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https://cva.style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Apache-2.0</w:t>
            </w:r>
          </w:p>
        </w:tc>
      </w:tr>
      <w:tr>
        <w:trPr>
          <w:cantSplit/>
        </w:trPr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clsx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условное объединение CSS-классов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https://github.com/lukeed/clsx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MIT</w:t>
            </w:r>
          </w:p>
        </w:tc>
      </w:tr>
      <w:tr>
        <w:trPr>
          <w:cantSplit/>
        </w:trPr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tailwind-merge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корректное объединение классов Tailwind CSS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https://github.com/dcastil/tailwind-merge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MIT</w:t>
            </w:r>
          </w:p>
        </w:tc>
      </w:tr>
      <w:tr>
        <w:trPr>
          <w:cantSplit/>
        </w:trPr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Sonner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уведомления интерфейса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https://sonner.emilkowal.ski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MIT</w:t>
            </w:r>
          </w:p>
        </w:tc>
      </w:tr>
      <w:tr>
        <w:trPr>
          <w:cantSplit/>
        </w:trPr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Node.js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среда выполнения и toolchain сборки WEB-приложения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https://nodejs.org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MIT</w:t>
            </w:r>
          </w:p>
        </w:tc>
      </w:tr>
      <w:tr>
        <w:trPr>
          <w:cantSplit/>
        </w:trPr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Nginx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WEB-сервер и обратный прокси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https://nginx.org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BSD-2-Clause</w:t>
            </w:r>
          </w:p>
        </w:tc>
      </w:tr>
      <w:tr>
        <w:trPr>
          <w:cantSplit/>
        </w:trPr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Docker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контейнеризация инфраструктурных компонентов при необходимости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https://www.docker.com</w:t>
            </w:r>
          </w:p>
        </w:tc>
        <w:tc>
          <w:tcPr>
            <w:tcW w:type="dxa" w:w="2465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Apache-2.0 for engine components / Docker terms</w:t>
            </w:r>
          </w:p>
        </w:tc>
      </w:tr>
    </w:tbl>
    <w:p>
      <w:pPr>
        <w:jc w:val="left"/>
      </w:pPr>
    </w:p>
    <w:p>
      <w:pPr>
        <w:pStyle w:val="Heading1"/>
      </w:pPr>
      <w:r>
        <w:rPr>
          <w:rFonts w:ascii="Arial" w:hAnsi="Arial" w:eastAsia="Arial"/>
          <w:sz w:val="22"/>
        </w:rPr>
        <w:t>3. Использование компилятора и сборки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При разработке программного комплекса используется сборка WEB-приложения из TypeScript/TSX-кода в JavaScript, HTML и CSS. Нативный компилятор для формирования исполняемых файлов под отдельные операционные системы не используется. Преобразование TypeScript-кода выполняется средствами TypeScript и сборщика проекта в составе Node.js toolchain.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Дополнительные серверные функции и runtime-компоненты используются в составе WEB-инфраструктуры экземпляра программного продукта и не требуют установки на рабочем месте пользователя.</w:t>
      </w:r>
    </w:p>
    <w:p>
      <w:pPr>
        <w:pStyle w:val="Heading1"/>
      </w:pPr>
      <w:r>
        <w:rPr>
          <w:rFonts w:ascii="Arial" w:hAnsi="Arial" w:eastAsia="Arial"/>
          <w:sz w:val="22"/>
        </w:rPr>
        <w:t>4. Инфраструктурные компоненты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29"/>
        <w:gridCol w:w="4929"/>
      </w:tblGrid>
      <w:tr>
        <w:trPr>
          <w:cantSplit/>
        </w:trPr>
        <w:tc>
          <w:tcPr>
            <w:tcW w:type="dxa" w:w="4929"/>
            <w:vAlign w:val="center"/>
            <w:shd w:fill="EDEDED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b/>
                <w:sz w:val="18"/>
              </w:rPr>
            </w:r>
            <w:r>
              <w:rPr>
                <w:rFonts w:ascii="Arial" w:hAnsi="Arial" w:eastAsia="Arial"/>
                <w:b/>
                <w:sz w:val="18"/>
              </w:rPr>
              <w:t>Компонент</w:t>
            </w:r>
          </w:p>
        </w:tc>
        <w:tc>
          <w:tcPr>
            <w:tcW w:type="dxa" w:w="4929"/>
            <w:vAlign w:val="center"/>
            <w:shd w:fill="EDEDED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b/>
                <w:sz w:val="18"/>
              </w:rPr>
            </w:r>
            <w:r>
              <w:rPr>
                <w:rFonts w:ascii="Arial" w:hAnsi="Arial" w:eastAsia="Arial"/>
                <w:b/>
                <w:sz w:val="18"/>
              </w:rPr>
              <w:t>Роль в эксплуатации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Российский VPS/сервер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размещение экземпляра программного продукта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Nginx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обслуживание HTTP/HTTPS-запросов и обратное проксирование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PostgreSQL/Supabase PostgreSQL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хранение структурированных данных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Node.js toolchain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сборка WEB-приложения и выполнение серверных компонентов при необходимости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HTTPS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защищенный доступ пользователей к сайту и кабинету</w:t>
            </w:r>
          </w:p>
        </w:tc>
      </w:tr>
    </w:tbl>
    <w:p>
      <w:pPr>
        <w:jc w:val="left"/>
      </w:pPr>
    </w:p>
    <w:p>
      <w:pPr>
        <w:pStyle w:val="Heading1"/>
      </w:pPr>
      <w:r>
        <w:rPr>
          <w:rFonts w:ascii="Arial" w:hAnsi="Arial" w:eastAsia="Arial"/>
          <w:sz w:val="22"/>
        </w:rPr>
        <w:t>5. Заключение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Перечисленные компоненты используются для функционирования WEB-приложения, серверного размещения, хранения данных, аутентификации, визуализации интерфейса и обеспечения доступности экземпляра программного продукта через браузер.</w:t>
      </w:r>
    </w:p>
    <w:sectPr w:rsidR="00FC693F" w:rsidRPr="0006063C" w:rsidSect="00034616">
      <w:footerReference w:type="default" r:id="rId9"/>
      <w:footerReference w:type="first" r:id="rId10"/>
      <w:footerReference w:type="even" r:id="rId11"/>
      <w:headerReference w:type="default" r:id="rId12"/>
      <w:headerReference w:type="first" r:id="rId13"/>
      <w:headerReference w:type="even" r:id="rId14"/>
      <w:pgSz w:w="12240" w:h="15840"/>
      <w:pgMar w:top="1134" w:right="1134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8"/>
      </w:rPr>
      <w:t>ИП Смыченко А. Е. Программный комплекс / программный продукт «МАТРИЦА НАВЫКОВ»</w:t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8"/>
      </w:rPr>
      <w:t>ИП Смыченко А. Е. Программный комплекс / программный продукт «МАТРИЦА НАВЫКОВ»</w:t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8"/>
      </w:rPr>
      <w:t>ИП Смыченко А. Е. Программный комплекс / программный продукт «МАТРИЦА НАВЫКОВ»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000000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0000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b/>
      <w:color w:val="000000"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Relationship Id="rId10" Type="http://schemas.openxmlformats.org/officeDocument/2006/relationships/footer" Target="footer2.xml"/><Relationship Id="rId11" Type="http://schemas.openxmlformats.org/officeDocument/2006/relationships/footer" Target="footer3.xml"/><Relationship Id="rId12" Type="http://schemas.openxmlformats.org/officeDocument/2006/relationships/header" Target="header1.xml"/><Relationship Id="rId13" Type="http://schemas.openxmlformats.org/officeDocument/2006/relationships/header" Target="head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