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rPr>
          <w:rFonts w:ascii="Arial" w:hAnsi="Arial" w:eastAsia="Arial"/>
          <w:b/>
          <w:sz w:val="32"/>
        </w:rPr>
        <w:t>СИСТЕМА ЦИФРОВОГО ПРОФИЛИРОВАНИЯ КОМПЕТЕНЦИЙ И ИНТЕЛЛЕКТУАЛЬНОГО РАСПРЕДЕЛЕНИЯ КАДРОВОГО ПОТЕНЦИАЛА «МАТРИЦА НАВЫКОВ»</w:t>
      </w:r>
    </w:p>
    <w:p>
      <w:pPr>
        <w:pStyle w:val="Title"/>
        <w:jc w:val="center"/>
      </w:pPr>
      <w:r>
        <w:rPr>
          <w:rFonts w:ascii="Arial" w:hAnsi="Arial" w:eastAsia="Arial"/>
          <w:b/>
          <w:sz w:val="30"/>
        </w:rPr>
        <w:t>ЛИЦЕНЗИОННОЕ СОГЛАШЕНИЕ</w:t>
      </w:r>
    </w:p>
    <w:p>
      <w:pPr>
        <w:jc w:val="left"/>
      </w:pP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929"/>
        <w:gridCol w:w="4929"/>
      </w:tblGrid>
      <w:tr>
        <w:tc>
          <w:tcPr>
            <w:tcW w:type="dxa" w:w="4929"/>
            <w:shd w:fill="F2F2F2"/>
          </w:tcPr>
          <w:p>
            <w:pPr>
              <w:jc w:val="left"/>
            </w:pPr>
            <w:r>
              <w:rPr>
                <w:rFonts w:ascii="Arial" w:hAnsi="Arial" w:eastAsia="Arial"/>
                <w:b/>
                <w:sz w:val="20"/>
              </w:rPr>
            </w:r>
            <w:r>
              <w:rPr>
                <w:rFonts w:ascii="Arial" w:hAnsi="Arial" w:eastAsia="Arial"/>
                <w:b/>
                <w:sz w:val="20"/>
              </w:rPr>
              <w:t>Версия документа</w:t>
            </w:r>
          </w:p>
        </w:tc>
        <w:tc>
          <w:tcPr>
            <w:tcW w:type="dxa" w:w="4929"/>
          </w:tcPr>
          <w:p>
            <w:pPr>
              <w:jc w:val="left"/>
            </w:pPr>
            <w:r>
              <w:rPr>
                <w:rFonts w:ascii="Arial" w:hAnsi="Arial" w:eastAsia="Arial"/>
                <w:sz w:val="20"/>
              </w:rPr>
            </w:r>
            <w:r>
              <w:rPr>
                <w:rFonts w:ascii="Arial" w:hAnsi="Arial" w:eastAsia="Arial"/>
                <w:sz w:val="20"/>
              </w:rPr>
              <w:t>1.0</w:t>
            </w:r>
          </w:p>
        </w:tc>
      </w:tr>
      <w:tr>
        <w:tc>
          <w:tcPr>
            <w:tcW w:type="dxa" w:w="4929"/>
            <w:shd w:fill="F2F2F2"/>
          </w:tcPr>
          <w:p>
            <w:pPr>
              <w:jc w:val="left"/>
            </w:pPr>
            <w:r>
              <w:rPr>
                <w:rFonts w:ascii="Arial" w:hAnsi="Arial" w:eastAsia="Arial"/>
                <w:b/>
                <w:sz w:val="20"/>
              </w:rPr>
            </w:r>
            <w:r>
              <w:rPr>
                <w:rFonts w:ascii="Arial" w:hAnsi="Arial" w:eastAsia="Arial"/>
                <w:b/>
                <w:sz w:val="20"/>
              </w:rPr>
              <w:t>Год</w:t>
            </w:r>
          </w:p>
        </w:tc>
        <w:tc>
          <w:tcPr>
            <w:tcW w:type="dxa" w:w="4929"/>
          </w:tcPr>
          <w:p>
            <w:pPr>
              <w:jc w:val="left"/>
            </w:pPr>
            <w:r>
              <w:rPr>
                <w:rFonts w:ascii="Arial" w:hAnsi="Arial" w:eastAsia="Arial"/>
                <w:sz w:val="20"/>
              </w:rPr>
            </w:r>
            <w:r>
              <w:rPr>
                <w:rFonts w:ascii="Arial" w:hAnsi="Arial" w:eastAsia="Arial"/>
                <w:sz w:val="20"/>
              </w:rPr>
              <w:t>2026</w:t>
            </w:r>
          </w:p>
        </w:tc>
      </w:tr>
      <w:tr>
        <w:tc>
          <w:tcPr>
            <w:tcW w:type="dxa" w:w="4929"/>
            <w:shd w:fill="F2F2F2"/>
          </w:tcPr>
          <w:p>
            <w:pPr>
              <w:jc w:val="left"/>
            </w:pPr>
            <w:r>
              <w:rPr>
                <w:rFonts w:ascii="Arial" w:hAnsi="Arial" w:eastAsia="Arial"/>
                <w:b/>
                <w:sz w:val="20"/>
              </w:rPr>
            </w:r>
            <w:r>
              <w:rPr>
                <w:rFonts w:ascii="Arial" w:hAnsi="Arial" w:eastAsia="Arial"/>
                <w:b/>
                <w:sz w:val="20"/>
              </w:rPr>
              <w:t>Основной сайт продукта</w:t>
            </w:r>
          </w:p>
        </w:tc>
        <w:tc>
          <w:tcPr>
            <w:tcW w:type="dxa" w:w="4929"/>
          </w:tcPr>
          <w:p>
            <w:pPr>
              <w:jc w:val="left"/>
            </w:pPr>
            <w:r>
              <w:rPr>
                <w:rFonts w:ascii="Arial" w:hAnsi="Arial" w:eastAsia="Arial"/>
                <w:sz w:val="20"/>
              </w:rPr>
            </w:r>
            <w:r>
              <w:rPr>
                <w:rFonts w:ascii="Arial" w:hAnsi="Arial" w:eastAsia="Arial"/>
                <w:sz w:val="20"/>
              </w:rPr>
              <w:t>https://arm-matrix.ru</w:t>
            </w:r>
          </w:p>
        </w:tc>
      </w:tr>
      <w:tr>
        <w:tc>
          <w:tcPr>
            <w:tcW w:type="dxa" w:w="4929"/>
            <w:shd w:fill="F2F2F2"/>
          </w:tcPr>
          <w:p>
            <w:pPr>
              <w:jc w:val="left"/>
            </w:pPr>
            <w:r>
              <w:rPr>
                <w:rFonts w:ascii="Arial" w:hAnsi="Arial" w:eastAsia="Arial"/>
                <w:b/>
                <w:sz w:val="20"/>
              </w:rPr>
            </w:r>
            <w:r>
              <w:rPr>
                <w:rFonts w:ascii="Arial" w:hAnsi="Arial" w:eastAsia="Arial"/>
                <w:b/>
                <w:sz w:val="20"/>
              </w:rPr>
              <w:t>Экземпляр ПО для экспертной проверки</w:t>
            </w:r>
          </w:p>
        </w:tc>
        <w:tc>
          <w:tcPr>
            <w:tcW w:type="dxa" w:w="4929"/>
          </w:tcPr>
          <w:p>
            <w:pPr>
              <w:jc w:val="left"/>
            </w:pPr>
            <w:r>
              <w:rPr>
                <w:rFonts w:ascii="Arial" w:hAnsi="Arial" w:eastAsia="Arial"/>
                <w:sz w:val="20"/>
              </w:rPr>
            </w:r>
            <w:r>
              <w:rPr>
                <w:rFonts w:ascii="Arial" w:hAnsi="Arial" w:eastAsia="Arial"/>
                <w:sz w:val="20"/>
              </w:rPr>
              <w:t>https://user.arm-matrix.ru</w:t>
            </w:r>
          </w:p>
        </w:tc>
      </w:tr>
      <w:tr>
        <w:tc>
          <w:tcPr>
            <w:tcW w:type="dxa" w:w="4929"/>
            <w:shd w:fill="F2F2F2"/>
          </w:tcPr>
          <w:p>
            <w:pPr>
              <w:jc w:val="left"/>
            </w:pPr>
            <w:r>
              <w:rPr>
                <w:rFonts w:ascii="Arial" w:hAnsi="Arial" w:eastAsia="Arial"/>
                <w:b/>
                <w:sz w:val="20"/>
              </w:rPr>
            </w:r>
            <w:r>
              <w:rPr>
                <w:rFonts w:ascii="Arial" w:hAnsi="Arial" w:eastAsia="Arial"/>
                <w:b/>
                <w:sz w:val="20"/>
              </w:rPr>
              <w:t>Страница документации</w:t>
            </w:r>
          </w:p>
        </w:tc>
        <w:tc>
          <w:tcPr>
            <w:tcW w:type="dxa" w:w="4929"/>
          </w:tcPr>
          <w:p>
            <w:pPr>
              <w:jc w:val="left"/>
            </w:pPr>
            <w:r>
              <w:rPr>
                <w:rFonts w:ascii="Arial" w:hAnsi="Arial" w:eastAsia="Arial"/>
                <w:sz w:val="20"/>
              </w:rPr>
            </w:r>
            <w:r>
              <w:rPr>
                <w:rFonts w:ascii="Arial" w:hAnsi="Arial" w:eastAsia="Arial"/>
                <w:sz w:val="20"/>
              </w:rPr>
              <w:t>https://arm-matrix.ru/docs</w:t>
            </w:r>
          </w:p>
        </w:tc>
      </w:tr>
      <w:tr>
        <w:tc>
          <w:tcPr>
            <w:tcW w:type="dxa" w:w="4929"/>
            <w:shd w:fill="F2F2F2"/>
          </w:tcPr>
          <w:p>
            <w:pPr>
              <w:jc w:val="left"/>
            </w:pPr>
            <w:r>
              <w:rPr>
                <w:rFonts w:ascii="Arial" w:hAnsi="Arial" w:eastAsia="Arial"/>
                <w:b/>
                <w:sz w:val="20"/>
              </w:rPr>
            </w:r>
            <w:r>
              <w:rPr>
                <w:rFonts w:ascii="Arial" w:hAnsi="Arial" w:eastAsia="Arial"/>
                <w:b/>
                <w:sz w:val="20"/>
              </w:rPr>
              <w:t>Правообладатель</w:t>
            </w:r>
          </w:p>
        </w:tc>
        <w:tc>
          <w:tcPr>
            <w:tcW w:type="dxa" w:w="4929"/>
          </w:tcPr>
          <w:p>
            <w:pPr>
              <w:jc w:val="left"/>
            </w:pPr>
            <w:r>
              <w:rPr>
                <w:rFonts w:ascii="Arial" w:hAnsi="Arial" w:eastAsia="Arial"/>
                <w:sz w:val="20"/>
              </w:rPr>
            </w:r>
            <w:r>
              <w:rPr>
                <w:rFonts w:ascii="Arial" w:hAnsi="Arial" w:eastAsia="Arial"/>
                <w:b/>
                <w:sz w:val="20"/>
              </w:rPr>
              <w:t>ИП Смыченко А. Е.</w:t>
            </w:r>
          </w:p>
        </w:tc>
      </w:tr>
    </w:tbl>
    <w:p>
      <w:pPr>
        <w:jc w:val="left"/>
      </w:pPr>
      <w:r>
        <w:rPr>
          <w:rFonts w:ascii="Arial" w:hAnsi="Arial" w:eastAsia="Arial"/>
        </w:rPr>
        <w:br w:type="page"/>
      </w:r>
    </w:p>
    <w:p>
      <w:pPr>
        <w:pStyle w:val="Heading1"/>
        <w:jc w:val="center"/>
      </w:pPr>
      <w:r>
        <w:rPr>
          <w:rFonts w:ascii="Arial" w:hAnsi="Arial" w:eastAsia="Arial"/>
        </w:rPr>
        <w:t>Содержание</w:t>
      </w:r>
    </w:p>
    <w:p>
      <w:pPr>
        <w:spacing w:after="40"/>
        <w:ind w:left="170"/>
        <w:jc w:val="left"/>
      </w:pPr>
      <w:r>
        <w:rPr>
          <w:rFonts w:ascii="Arial" w:hAnsi="Arial" w:eastAsia="Arial"/>
          <w:sz w:val="22"/>
        </w:rPr>
        <w:t>1. Предмет соглашения</w:t>
      </w:r>
    </w:p>
    <w:p>
      <w:pPr>
        <w:spacing w:after="40"/>
        <w:ind w:left="170"/>
        <w:jc w:val="left"/>
      </w:pPr>
      <w:r>
        <w:rPr>
          <w:rFonts w:ascii="Arial" w:hAnsi="Arial" w:eastAsia="Arial"/>
          <w:sz w:val="22"/>
        </w:rPr>
        <w:t>2. Права на программный продукт</w:t>
      </w:r>
    </w:p>
    <w:p>
      <w:pPr>
        <w:spacing w:after="40"/>
        <w:ind w:left="170"/>
        <w:jc w:val="left"/>
      </w:pPr>
      <w:r>
        <w:rPr>
          <w:rFonts w:ascii="Arial" w:hAnsi="Arial" w:eastAsia="Arial"/>
          <w:sz w:val="22"/>
        </w:rPr>
        <w:t>3. Объем предоставляемых прав</w:t>
      </w:r>
    </w:p>
    <w:p>
      <w:pPr>
        <w:spacing w:after="40"/>
        <w:ind w:left="170"/>
        <w:jc w:val="left"/>
      </w:pPr>
      <w:r>
        <w:rPr>
          <w:rFonts w:ascii="Arial" w:hAnsi="Arial" w:eastAsia="Arial"/>
          <w:sz w:val="22"/>
        </w:rPr>
        <w:t>4. Ограничения</w:t>
      </w:r>
    </w:p>
    <w:p>
      <w:pPr>
        <w:spacing w:after="40"/>
        <w:ind w:left="170"/>
        <w:jc w:val="left"/>
      </w:pPr>
      <w:r>
        <w:rPr>
          <w:rFonts w:ascii="Arial" w:hAnsi="Arial" w:eastAsia="Arial"/>
          <w:sz w:val="22"/>
        </w:rPr>
        <w:t>5. Обновления и новые версии</w:t>
      </w:r>
    </w:p>
    <w:p>
      <w:pPr>
        <w:spacing w:after="40"/>
        <w:ind w:left="170"/>
        <w:jc w:val="left"/>
      </w:pPr>
      <w:r>
        <w:rPr>
          <w:rFonts w:ascii="Arial" w:hAnsi="Arial" w:eastAsia="Arial"/>
          <w:sz w:val="22"/>
        </w:rPr>
        <w:t>6. Техническая поддержка</w:t>
      </w:r>
    </w:p>
    <w:p>
      <w:pPr>
        <w:spacing w:after="40"/>
        <w:ind w:left="170"/>
        <w:jc w:val="left"/>
      </w:pPr>
      <w:r>
        <w:rPr>
          <w:rFonts w:ascii="Arial" w:hAnsi="Arial" w:eastAsia="Arial"/>
          <w:sz w:val="22"/>
        </w:rPr>
        <w:t>7. Ответственность сторон</w:t>
      </w:r>
    </w:p>
    <w:p>
      <w:pPr>
        <w:spacing w:after="40"/>
        <w:ind w:left="170"/>
        <w:jc w:val="left"/>
      </w:pPr>
      <w:r>
        <w:rPr>
          <w:rFonts w:ascii="Arial" w:hAnsi="Arial" w:eastAsia="Arial"/>
          <w:sz w:val="22"/>
        </w:rPr>
        <w:t>8. Срок действия</w:t>
      </w:r>
    </w:p>
    <w:p>
      <w:pPr>
        <w:spacing w:after="40"/>
        <w:ind w:left="170"/>
        <w:jc w:val="left"/>
      </w:pPr>
      <w:r>
        <w:rPr>
          <w:rFonts w:ascii="Arial" w:hAnsi="Arial" w:eastAsia="Arial"/>
          <w:sz w:val="22"/>
        </w:rPr>
        <w:t>9. Заключительные положения</w:t>
      </w:r>
    </w:p>
    <w:p>
      <w:pPr>
        <w:jc w:val="left"/>
      </w:pPr>
      <w:r>
        <w:rPr>
          <w:rFonts w:ascii="Arial" w:hAnsi="Arial" w:eastAsia="Arial"/>
        </w:rPr>
        <w:br w:type="page"/>
      </w:r>
    </w:p>
    <w:p>
      <w:pPr>
        <w:pStyle w:val="Heading1"/>
      </w:pPr>
      <w:r>
        <w:rPr>
          <w:rFonts w:ascii="Arial" w:hAnsi="Arial" w:eastAsia="Arial"/>
          <w:sz w:val="22"/>
        </w:rPr>
        <w:t>1. Предмет соглашения</w:t>
      </w:r>
    </w:p>
    <w:p>
      <w:pPr>
        <w:spacing w:after="80"/>
        <w:ind/>
        <w:jc w:val="left"/>
      </w:pPr>
      <w:r>
        <w:rPr>
          <w:rFonts w:ascii="Arial" w:hAnsi="Arial" w:eastAsia="Arial"/>
          <w:sz w:val="22"/>
        </w:rPr>
        <w:t>Настоящее лицензионное соглашение регулирует порядок использования программного продукта «МАТРИЦА НАВЫКОВ», предоставляемого через WEB-интерфейс и предназначенного для цифрового профилирования компетенций, оценки навыков, подбора команд и планирования траекторий развития.</w:t>
      </w:r>
    </w:p>
    <w:p>
      <w:pPr>
        <w:pStyle w:val="Heading1"/>
      </w:pPr>
      <w:r>
        <w:rPr>
          <w:rFonts w:ascii="Arial" w:hAnsi="Arial" w:eastAsia="Arial"/>
          <w:sz w:val="22"/>
        </w:rPr>
        <w:t>2. Права на программный продукт</w:t>
      </w:r>
    </w:p>
    <w:p>
      <w:pPr>
        <w:spacing w:after="80"/>
        <w:ind/>
        <w:jc w:val="left"/>
      </w:pPr>
      <w:r>
        <w:rPr>
          <w:rFonts w:ascii="Arial" w:hAnsi="Arial" w:eastAsia="Arial"/>
          <w:sz w:val="22"/>
        </w:rPr>
        <w:t xml:space="preserve">Исключительные права на программный продукт принадлежат правообладателю: </w:t>
      </w:r>
      <w:r>
        <w:rPr>
          <w:rFonts w:ascii="Arial" w:hAnsi="Arial" w:eastAsia="Arial"/>
          <w:b/>
          <w:sz w:val="22"/>
        </w:rPr>
        <w:t>ИП Смыченко А. Е.</w:t>
      </w:r>
      <w:r>
        <w:rPr>
          <w:rFonts w:ascii="Arial" w:hAnsi="Arial" w:eastAsia="Arial"/>
          <w:sz w:val="22"/>
        </w:rPr>
        <w:t>. Пользователь получает право использования продукта только в пределах, установленных настоящим соглашением и предоставленным доступом.</w:t>
      </w:r>
    </w:p>
    <w:p>
      <w:pPr>
        <w:pStyle w:val="Heading1"/>
      </w:pPr>
      <w:r>
        <w:rPr>
          <w:rFonts w:ascii="Arial" w:hAnsi="Arial" w:eastAsia="Arial"/>
          <w:sz w:val="22"/>
        </w:rPr>
        <w:t>3. Объем предоставляемых прав</w:t>
      </w:r>
    </w:p>
    <w:p>
      <w:pPr>
        <w:spacing w:after="80"/>
        <w:ind/>
        <w:jc w:val="left"/>
      </w:pPr>
      <w:r>
        <w:rPr>
          <w:rFonts w:ascii="Arial" w:hAnsi="Arial" w:eastAsia="Arial"/>
          <w:sz w:val="22"/>
        </w:rPr>
        <w:t>Пользователю предоставляется неисключительное право доступа к функциональности программного продукта через браузер. Передача исходного кода, отчуждение исключительных прав, распространение копий программного продукта и самостоятельная модификация не входят в объем предоставляемых прав.</w:t>
      </w:r>
    </w:p>
    <w:p>
      <w:pPr>
        <w:pStyle w:val="Heading1"/>
      </w:pPr>
      <w:r>
        <w:rPr>
          <w:rFonts w:ascii="Arial" w:hAnsi="Arial" w:eastAsia="Arial"/>
          <w:sz w:val="22"/>
        </w:rPr>
        <w:t>4. Ограничения</w:t>
      </w:r>
    </w:p>
    <w:p>
      <w:pPr>
        <w:spacing w:after="80"/>
        <w:ind/>
        <w:jc w:val="left"/>
      </w:pPr>
      <w:r>
        <w:rPr>
          <w:rFonts w:ascii="Arial" w:hAnsi="Arial" w:eastAsia="Arial"/>
          <w:sz w:val="22"/>
        </w:rPr>
        <w:t>запрещается копировать, декомпилировать, модифицировать и распространять программный продукт без согласия правообладателя</w:t>
      </w:r>
    </w:p>
    <w:p>
      <w:pPr>
        <w:spacing w:after="80"/>
        <w:ind/>
        <w:jc w:val="left"/>
      </w:pPr>
      <w:r>
        <w:rPr>
          <w:rFonts w:ascii="Arial" w:hAnsi="Arial" w:eastAsia="Arial"/>
          <w:sz w:val="22"/>
        </w:rPr>
        <w:t>запрещается использовать доступ для нарушения работы серверной инфраструктуры</w:t>
      </w:r>
    </w:p>
    <w:p>
      <w:pPr>
        <w:spacing w:after="80"/>
        <w:ind/>
        <w:jc w:val="left"/>
      </w:pPr>
      <w:r>
        <w:rPr>
          <w:rFonts w:ascii="Arial" w:hAnsi="Arial" w:eastAsia="Arial"/>
          <w:sz w:val="22"/>
        </w:rPr>
        <w:t>запрещается обходить механизмы авторизации и разграничения доступа</w:t>
      </w:r>
    </w:p>
    <w:p>
      <w:pPr>
        <w:spacing w:after="80"/>
        <w:ind/>
        <w:jc w:val="left"/>
      </w:pPr>
      <w:r>
        <w:rPr>
          <w:rFonts w:ascii="Arial" w:hAnsi="Arial" w:eastAsia="Arial"/>
          <w:sz w:val="22"/>
        </w:rPr>
        <w:t>запрещается размещать незаконную или недостоверную информацию в экземпляре программного продукта</w:t>
      </w:r>
    </w:p>
    <w:p>
      <w:pPr>
        <w:pStyle w:val="Heading1"/>
      </w:pPr>
      <w:r>
        <w:rPr>
          <w:rFonts w:ascii="Arial" w:hAnsi="Arial" w:eastAsia="Arial"/>
          <w:sz w:val="22"/>
        </w:rPr>
        <w:t>5. Обновления и новые версии</w:t>
      </w:r>
    </w:p>
    <w:p>
      <w:pPr>
        <w:spacing w:after="80"/>
        <w:ind/>
        <w:jc w:val="left"/>
      </w:pPr>
      <w:r>
        <w:rPr>
          <w:rFonts w:ascii="Arial" w:hAnsi="Arial" w:eastAsia="Arial"/>
          <w:sz w:val="22"/>
        </w:rPr>
        <w:t>Правообладатель вправе выпускать обновления, исправления и новые версии программного продукта. Обновления могут изменять интерфейс, состав функций, внутреннюю архитектуру, структуру данных и документацию при сохранении общего назначения продукта.</w:t>
      </w:r>
    </w:p>
    <w:p>
      <w:pPr>
        <w:pStyle w:val="Heading1"/>
      </w:pPr>
      <w:r>
        <w:rPr>
          <w:rFonts w:ascii="Arial" w:hAnsi="Arial" w:eastAsia="Arial"/>
          <w:sz w:val="22"/>
        </w:rPr>
        <w:t>6. Техническая поддержка</w:t>
      </w:r>
    </w:p>
    <w:p>
      <w:pPr>
        <w:spacing w:after="80"/>
        <w:ind/>
        <w:jc w:val="left"/>
      </w:pPr>
      <w:r>
        <w:rPr>
          <w:rFonts w:ascii="Arial" w:hAnsi="Arial" w:eastAsia="Arial"/>
          <w:sz w:val="22"/>
        </w:rPr>
        <w:t>Техническая поддержка включает обработку обращений, консультации по доступу, устранение неисправностей, выпуск обновлений и поддержание документации. Порядок сопровождения определяется правообладателем.</w:t>
      </w:r>
    </w:p>
    <w:p>
      <w:pPr>
        <w:pStyle w:val="Heading1"/>
      </w:pPr>
      <w:r>
        <w:rPr>
          <w:rFonts w:ascii="Arial" w:hAnsi="Arial" w:eastAsia="Arial"/>
          <w:sz w:val="22"/>
        </w:rPr>
        <w:t>7. Ответственность сторон</w:t>
      </w:r>
    </w:p>
    <w:p>
      <w:pPr>
        <w:spacing w:after="80"/>
        <w:ind/>
        <w:jc w:val="left"/>
      </w:pPr>
      <w:r>
        <w:rPr>
          <w:rFonts w:ascii="Arial" w:hAnsi="Arial" w:eastAsia="Arial"/>
          <w:sz w:val="22"/>
        </w:rPr>
        <w:t>Пользователь отвечает за сохранность учетных данных и корректность вводимой информации. Правообладатель отвечает за сопровождение программного продукта в пределах доступных технических и организационных мер.</w:t>
      </w:r>
    </w:p>
    <w:p>
      <w:pPr>
        <w:pStyle w:val="Heading1"/>
      </w:pPr>
      <w:r>
        <w:rPr>
          <w:rFonts w:ascii="Arial" w:hAnsi="Arial" w:eastAsia="Arial"/>
          <w:sz w:val="22"/>
        </w:rPr>
        <w:t>8. Срок действия</w:t>
      </w:r>
    </w:p>
    <w:p>
      <w:pPr>
        <w:spacing w:after="80"/>
        <w:ind/>
        <w:jc w:val="left"/>
      </w:pPr>
      <w:r>
        <w:rPr>
          <w:rFonts w:ascii="Arial" w:hAnsi="Arial" w:eastAsia="Arial"/>
          <w:sz w:val="22"/>
        </w:rPr>
        <w:t>Соглашение действует с момента предоставления пользователю доступа к программному продукту и сохраняет силу на период такого доступа, если иное не установлено отдельными документами или договоренностями сторон.</w:t>
      </w:r>
    </w:p>
    <w:p>
      <w:pPr>
        <w:pStyle w:val="Heading1"/>
      </w:pPr>
      <w:r>
        <w:rPr>
          <w:rFonts w:ascii="Arial" w:hAnsi="Arial" w:eastAsia="Arial"/>
          <w:sz w:val="22"/>
        </w:rPr>
        <w:t>9. Заключительные положения</w:t>
      </w:r>
    </w:p>
    <w:p>
      <w:pPr>
        <w:spacing w:after="80"/>
        <w:ind/>
        <w:jc w:val="left"/>
      </w:pPr>
      <w:r>
        <w:rPr>
          <w:rFonts w:ascii="Arial" w:hAnsi="Arial" w:eastAsia="Arial"/>
          <w:sz w:val="22"/>
        </w:rPr>
        <w:t>Использование программного продукта означает согласие пользователя с условиями настоящего соглашения. Все вопросы, не урегулированные соглашением, решаются в соответствии с применимым законодательством и документами правообладателя.</w:t>
      </w:r>
    </w:p>
    <w:sectPr w:rsidR="00FC693F" w:rsidRPr="0006063C" w:rsidSect="00034616">
      <w:footerReference w:type="default" r:id="rId9"/>
      <w:footerReference w:type="first" r:id="rId10"/>
      <w:footerReference w:type="even" r:id="rId11"/>
      <w:headerReference w:type="default" r:id="rId12"/>
      <w:headerReference w:type="first" r:id="rId13"/>
      <w:headerReference w:type="even" r:id="rId14"/>
      <w:pgSz w:w="12240" w:h="15840"/>
      <w:pgMar w:top="1134" w:right="1134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sz w:val="18"/>
      </w:rPr>
      <w:t>ИП Смыченко А. Е. Программный комплекс / программный продукт «МАТРИЦА НАВЫКОВ»</w:t>
    </w: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sz w:val="18"/>
      </w:rPr>
      <w:t>ИП Смыченко А. Е. Программный комплекс / программный продукт «МАТРИЦА НАВЫКОВ»</w:t>
    </w:r>
  </w:p>
</w:ftr>
</file>

<file path=word/footer3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sz w:val="18"/>
      </w:rPr>
      <w:t>ИП Смыченко А. Е. Программный комплекс / программный продукт «МАТРИЦА НАВЫКОВ»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40" w:after="12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000000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0000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b/>
      <w:color w:val="000000"/>
      <w:spacing w:val="5"/>
      <w:kern w:val="28"/>
      <w:sz w:val="3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Relationship Id="rId10" Type="http://schemas.openxmlformats.org/officeDocument/2006/relationships/footer" Target="footer2.xml"/><Relationship Id="rId11" Type="http://schemas.openxmlformats.org/officeDocument/2006/relationships/footer" Target="footer3.xml"/><Relationship Id="rId12" Type="http://schemas.openxmlformats.org/officeDocument/2006/relationships/header" Target="header1.xml"/><Relationship Id="rId13" Type="http://schemas.openxmlformats.org/officeDocument/2006/relationships/header" Target="header2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