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rFonts w:ascii="Arial" w:hAnsi="Arial" w:eastAsia="Arial"/>
          <w:b/>
          <w:sz w:val="32"/>
        </w:rPr>
        <w:t>СИСТЕМА ЦИФРОВОГО ПРОФИЛИРОВАНИЯ КОМПЕТЕНЦИЙ И ИНТЕЛЛЕКТУАЛЬНОГО РАСПРЕДЕЛЕНИЯ КАДРОВОГО ПОТЕНЦИАЛА «МАТРИЦА НАВЫКОВ»</w:t>
      </w:r>
    </w:p>
    <w:p>
      <w:pPr>
        <w:pStyle w:val="Title"/>
        <w:jc w:val="center"/>
      </w:pPr>
      <w:r>
        <w:rPr>
          <w:rFonts w:ascii="Arial" w:hAnsi="Arial" w:eastAsia="Arial"/>
          <w:b/>
          <w:sz w:val="30"/>
        </w:rPr>
        <w:t>РУКОВОДСТВО ПОЛЬЗОВАТЕЛЯ</w:t>
      </w:r>
    </w:p>
    <w:p>
      <w:pPr>
        <w:jc w:val="left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29"/>
        <w:gridCol w:w="4929"/>
      </w:tblGrid>
      <w:tr>
        <w:tc>
          <w:tcPr>
            <w:tcW w:type="dxa" w:w="4929"/>
            <w:shd w:fill="F2F2F2"/>
          </w:tcPr>
          <w:p>
            <w:pPr>
              <w:jc w:val="left"/>
            </w:pPr>
            <w:r>
              <w:rPr>
                <w:rFonts w:ascii="Arial" w:hAnsi="Arial" w:eastAsia="Arial"/>
                <w:b/>
                <w:sz w:val="20"/>
              </w:rPr>
            </w:r>
            <w:r>
              <w:rPr>
                <w:rFonts w:ascii="Arial" w:hAnsi="Arial" w:eastAsia="Arial"/>
                <w:b/>
                <w:sz w:val="20"/>
              </w:rPr>
              <w:t>Версия документа</w:t>
            </w:r>
          </w:p>
        </w:tc>
        <w:tc>
          <w:tcPr>
            <w:tcW w:type="dxa" w:w="4929"/>
          </w:tcPr>
          <w:p>
            <w:pPr>
              <w:jc w:val="left"/>
            </w:pPr>
            <w:r>
              <w:rPr>
                <w:rFonts w:ascii="Arial" w:hAnsi="Arial" w:eastAsia="Arial"/>
                <w:sz w:val="20"/>
              </w:rPr>
            </w:r>
            <w:r>
              <w:rPr>
                <w:rFonts w:ascii="Arial" w:hAnsi="Arial" w:eastAsia="Arial"/>
                <w:sz w:val="20"/>
              </w:rPr>
              <w:t>1.0</w:t>
            </w:r>
          </w:p>
        </w:tc>
      </w:tr>
      <w:tr>
        <w:tc>
          <w:tcPr>
            <w:tcW w:type="dxa" w:w="4929"/>
            <w:shd w:fill="F2F2F2"/>
          </w:tcPr>
          <w:p>
            <w:pPr>
              <w:jc w:val="left"/>
            </w:pPr>
            <w:r>
              <w:rPr>
                <w:rFonts w:ascii="Arial" w:hAnsi="Arial" w:eastAsia="Arial"/>
                <w:b/>
                <w:sz w:val="20"/>
              </w:rPr>
            </w:r>
            <w:r>
              <w:rPr>
                <w:rFonts w:ascii="Arial" w:hAnsi="Arial" w:eastAsia="Arial"/>
                <w:b/>
                <w:sz w:val="20"/>
              </w:rPr>
              <w:t>Год</w:t>
            </w:r>
          </w:p>
        </w:tc>
        <w:tc>
          <w:tcPr>
            <w:tcW w:type="dxa" w:w="4929"/>
          </w:tcPr>
          <w:p>
            <w:pPr>
              <w:jc w:val="left"/>
            </w:pPr>
            <w:r>
              <w:rPr>
                <w:rFonts w:ascii="Arial" w:hAnsi="Arial" w:eastAsia="Arial"/>
                <w:sz w:val="20"/>
              </w:rPr>
            </w:r>
            <w:r>
              <w:rPr>
                <w:rFonts w:ascii="Arial" w:hAnsi="Arial" w:eastAsia="Arial"/>
                <w:sz w:val="20"/>
              </w:rPr>
              <w:t>2026</w:t>
            </w:r>
          </w:p>
        </w:tc>
      </w:tr>
      <w:tr>
        <w:tc>
          <w:tcPr>
            <w:tcW w:type="dxa" w:w="4929"/>
            <w:shd w:fill="F2F2F2"/>
          </w:tcPr>
          <w:p>
            <w:pPr>
              <w:jc w:val="left"/>
            </w:pPr>
            <w:r>
              <w:rPr>
                <w:rFonts w:ascii="Arial" w:hAnsi="Arial" w:eastAsia="Arial"/>
                <w:b/>
                <w:sz w:val="20"/>
              </w:rPr>
            </w:r>
            <w:r>
              <w:rPr>
                <w:rFonts w:ascii="Arial" w:hAnsi="Arial" w:eastAsia="Arial"/>
                <w:b/>
                <w:sz w:val="20"/>
              </w:rPr>
              <w:t>Основной сайт продукта</w:t>
            </w:r>
          </w:p>
        </w:tc>
        <w:tc>
          <w:tcPr>
            <w:tcW w:type="dxa" w:w="4929"/>
          </w:tcPr>
          <w:p>
            <w:pPr>
              <w:jc w:val="left"/>
            </w:pPr>
            <w:r>
              <w:rPr>
                <w:rFonts w:ascii="Arial" w:hAnsi="Arial" w:eastAsia="Arial"/>
                <w:sz w:val="20"/>
              </w:rPr>
            </w:r>
            <w:r>
              <w:rPr>
                <w:rFonts w:ascii="Arial" w:hAnsi="Arial" w:eastAsia="Arial"/>
                <w:sz w:val="20"/>
              </w:rPr>
              <w:t>https://arm-matrix.ru</w:t>
            </w:r>
          </w:p>
        </w:tc>
      </w:tr>
      <w:tr>
        <w:tc>
          <w:tcPr>
            <w:tcW w:type="dxa" w:w="4929"/>
            <w:shd w:fill="F2F2F2"/>
          </w:tcPr>
          <w:p>
            <w:pPr>
              <w:jc w:val="left"/>
            </w:pPr>
            <w:r>
              <w:rPr>
                <w:rFonts w:ascii="Arial" w:hAnsi="Arial" w:eastAsia="Arial"/>
                <w:b/>
                <w:sz w:val="20"/>
              </w:rPr>
            </w:r>
            <w:r>
              <w:rPr>
                <w:rFonts w:ascii="Arial" w:hAnsi="Arial" w:eastAsia="Arial"/>
                <w:b/>
                <w:sz w:val="20"/>
              </w:rPr>
              <w:t>Экземпляр ПО для экспертной проверки</w:t>
            </w:r>
          </w:p>
        </w:tc>
        <w:tc>
          <w:tcPr>
            <w:tcW w:type="dxa" w:w="4929"/>
          </w:tcPr>
          <w:p>
            <w:pPr>
              <w:jc w:val="left"/>
            </w:pPr>
            <w:r>
              <w:rPr>
                <w:rFonts w:ascii="Arial" w:hAnsi="Arial" w:eastAsia="Arial"/>
                <w:sz w:val="20"/>
              </w:rPr>
            </w:r>
            <w:r>
              <w:rPr>
                <w:rFonts w:ascii="Arial" w:hAnsi="Arial" w:eastAsia="Arial"/>
                <w:sz w:val="20"/>
              </w:rPr>
              <w:t>https://user.arm-matrix.ru</w:t>
            </w:r>
          </w:p>
        </w:tc>
      </w:tr>
      <w:tr>
        <w:tc>
          <w:tcPr>
            <w:tcW w:type="dxa" w:w="4929"/>
            <w:shd w:fill="F2F2F2"/>
          </w:tcPr>
          <w:p>
            <w:pPr>
              <w:jc w:val="left"/>
            </w:pPr>
            <w:r>
              <w:rPr>
                <w:rFonts w:ascii="Arial" w:hAnsi="Arial" w:eastAsia="Arial"/>
                <w:b/>
                <w:sz w:val="20"/>
              </w:rPr>
            </w:r>
            <w:r>
              <w:rPr>
                <w:rFonts w:ascii="Arial" w:hAnsi="Arial" w:eastAsia="Arial"/>
                <w:b/>
                <w:sz w:val="20"/>
              </w:rPr>
              <w:t>Страница документации</w:t>
            </w:r>
          </w:p>
        </w:tc>
        <w:tc>
          <w:tcPr>
            <w:tcW w:type="dxa" w:w="4929"/>
          </w:tcPr>
          <w:p>
            <w:pPr>
              <w:jc w:val="left"/>
            </w:pPr>
            <w:r>
              <w:rPr>
                <w:rFonts w:ascii="Arial" w:hAnsi="Arial" w:eastAsia="Arial"/>
                <w:sz w:val="20"/>
              </w:rPr>
            </w:r>
            <w:r>
              <w:rPr>
                <w:rFonts w:ascii="Arial" w:hAnsi="Arial" w:eastAsia="Arial"/>
                <w:sz w:val="20"/>
              </w:rPr>
              <w:t>https://arm-matrix.ru/docs</w:t>
            </w:r>
          </w:p>
        </w:tc>
      </w:tr>
      <w:tr>
        <w:tc>
          <w:tcPr>
            <w:tcW w:type="dxa" w:w="4929"/>
            <w:shd w:fill="F2F2F2"/>
          </w:tcPr>
          <w:p>
            <w:pPr>
              <w:jc w:val="left"/>
            </w:pPr>
            <w:r>
              <w:rPr>
                <w:rFonts w:ascii="Arial" w:hAnsi="Arial" w:eastAsia="Arial"/>
                <w:b/>
                <w:sz w:val="20"/>
              </w:rPr>
            </w:r>
            <w:r>
              <w:rPr>
                <w:rFonts w:ascii="Arial" w:hAnsi="Arial" w:eastAsia="Arial"/>
                <w:b/>
                <w:sz w:val="20"/>
              </w:rPr>
              <w:t>Правообладатель</w:t>
            </w:r>
          </w:p>
        </w:tc>
        <w:tc>
          <w:tcPr>
            <w:tcW w:type="dxa" w:w="4929"/>
          </w:tcPr>
          <w:p>
            <w:pPr>
              <w:jc w:val="left"/>
            </w:pPr>
            <w:r>
              <w:rPr>
                <w:rFonts w:ascii="Arial" w:hAnsi="Arial" w:eastAsia="Arial"/>
                <w:sz w:val="20"/>
              </w:rPr>
            </w:r>
            <w:r>
              <w:rPr>
                <w:rFonts w:ascii="Arial" w:hAnsi="Arial" w:eastAsia="Arial"/>
                <w:b/>
                <w:sz w:val="20"/>
              </w:rPr>
              <w:t>ИП Смыченко А. Е.</w:t>
            </w:r>
          </w:p>
        </w:tc>
      </w:tr>
    </w:tbl>
    <w:p>
      <w:pPr>
        <w:jc w:val="left"/>
      </w:pPr>
      <w:r>
        <w:rPr>
          <w:rFonts w:ascii="Arial" w:hAnsi="Arial" w:eastAsia="Arial"/>
        </w:rPr>
        <w:br w:type="page"/>
      </w:r>
    </w:p>
    <w:p>
      <w:pPr>
        <w:pStyle w:val="Heading1"/>
        <w:jc w:val="center"/>
      </w:pPr>
      <w:r>
        <w:rPr>
          <w:rFonts w:ascii="Arial" w:hAnsi="Arial" w:eastAsia="Arial"/>
        </w:rPr>
        <w:t>Содержание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1. Общие сведения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2. Назначение и область применения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3. Требования к рабочему месту пользователя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4. Доступ к программному продукту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5. Авторизация и завершение работы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6. Главное окно и навигация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7. Работа с основными разделами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8. Формирование отчетов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9. Журнал событий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10. Типовые действия пользователя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11. Сообщения и возможные ошибки</w:t>
      </w:r>
    </w:p>
    <w:p>
      <w:pPr>
        <w:jc w:val="left"/>
      </w:pPr>
      <w:r>
        <w:rPr>
          <w:rFonts w:ascii="Arial" w:hAnsi="Arial" w:eastAsia="Arial"/>
        </w:rPr>
        <w:br w:type="page"/>
      </w:r>
    </w:p>
    <w:p>
      <w:pPr>
        <w:pStyle w:val="Heading1"/>
      </w:pPr>
      <w:r>
        <w:rPr>
          <w:rFonts w:ascii="Arial" w:hAnsi="Arial" w:eastAsia="Arial"/>
          <w:sz w:val="22"/>
        </w:rPr>
        <w:t>1. Общие сведения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Настоящее руководство пользователя описывает порядок работы с программным продуктом «МАТРИЦА НАВЫКОВ», предоставляемым через WEB-интерфейс и предназначенным для цифрового профилирования компетенций, оценки навыков, подбора команд и планирования траекторий развития. Программный продукт доступен через браузер по защищенному протоколу HTTPS и не требует установки на рабочий компьютер пользователя.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 xml:space="preserve">Правообладатель программного продукта: </w:t>
      </w:r>
      <w:r>
        <w:rPr>
          <w:rFonts w:ascii="Arial" w:hAnsi="Arial" w:eastAsia="Arial"/>
          <w:b/>
          <w:sz w:val="22"/>
        </w:rPr>
        <w:t>ИП Смыченко А. Е.</w:t>
      </w:r>
      <w:r>
        <w:rPr>
          <w:rFonts w:ascii="Arial" w:hAnsi="Arial" w:eastAsia="Arial"/>
          <w:sz w:val="22"/>
        </w:rPr>
        <w:t>.</w:t>
      </w:r>
    </w:p>
    <w:p>
      <w:pPr>
        <w:pStyle w:val="Heading1"/>
      </w:pPr>
      <w:r>
        <w:rPr>
          <w:rFonts w:ascii="Arial" w:hAnsi="Arial" w:eastAsia="Arial"/>
          <w:sz w:val="22"/>
        </w:rPr>
        <w:t>2. Назначение и область применения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Программный продукт применяется для автоматизации рабочих процессов организаций, которым требуется централизованное ведение данных, оперативный контроль, аналитика и подготовка отчетности в предметной области: цифрового профилирования компетенций, оценки навыков, подбора команд и планирования траекторий развития.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производственные и строительные холдинги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ИТ-компании и digital-агентства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сервисные и инжиниринговые сети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консалтинговые и аудиторские группы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HR-отделы и руководители команд</w:t>
      </w:r>
    </w:p>
    <w:p>
      <w:pPr>
        <w:pStyle w:val="Heading1"/>
      </w:pPr>
      <w:r>
        <w:rPr>
          <w:rFonts w:ascii="Arial" w:hAnsi="Arial" w:eastAsia="Arial"/>
          <w:sz w:val="22"/>
        </w:rPr>
        <w:t>3. Требования к рабочему месту пользователя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29"/>
        <w:gridCol w:w="4929"/>
      </w:tblGrid>
      <w:tr>
        <w:trPr>
          <w:cantSplit/>
        </w:trPr>
        <w:tc>
          <w:tcPr>
            <w:tcW w:type="dxa" w:w="4929"/>
            <w:vAlign w:val="center"/>
            <w:shd w:fill="EDEDED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b/>
                <w:sz w:val="18"/>
              </w:rPr>
            </w:r>
            <w:r>
              <w:rPr>
                <w:rFonts w:ascii="Arial" w:hAnsi="Arial" w:eastAsia="Arial"/>
                <w:b/>
                <w:sz w:val="18"/>
              </w:rPr>
              <w:t>Параметр</w:t>
            </w:r>
          </w:p>
        </w:tc>
        <w:tc>
          <w:tcPr>
            <w:tcW w:type="dxa" w:w="4929"/>
            <w:vAlign w:val="center"/>
            <w:shd w:fill="EDEDED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b/>
                <w:sz w:val="18"/>
              </w:rPr>
            </w:r>
            <w:r>
              <w:rPr>
                <w:rFonts w:ascii="Arial" w:hAnsi="Arial" w:eastAsia="Arial"/>
                <w:b/>
                <w:sz w:val="18"/>
              </w:rPr>
              <w:t>Минимальное требование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Устройство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персональный компьютер, ноутбук или планшет с современным браузером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Операционная система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Windows, macOS, Linux или мобильная ОС с поддержкой современного браузера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Браузер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актуальные версии Google Chrome, Яндекс Браузера, Microsoft Edge, Safari или Firefox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Сеть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стабильное подключение к Интернету и доступ к HTTPS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Дополнительное ПО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локальная установка программного продукта не требуется</w:t>
            </w:r>
          </w:p>
        </w:tc>
      </w:tr>
    </w:tbl>
    <w:p>
      <w:pPr>
        <w:jc w:val="left"/>
      </w:pPr>
    </w:p>
    <w:p>
      <w:pPr>
        <w:pStyle w:val="Heading1"/>
      </w:pPr>
      <w:r>
        <w:rPr>
          <w:rFonts w:ascii="Arial" w:hAnsi="Arial" w:eastAsia="Arial"/>
          <w:sz w:val="22"/>
        </w:rPr>
        <w:t>4. Доступ к программному продукту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Основной сайт продукта расположен по адресу https://arm-matrix.ru. Экземпляр программного продукта для экспертной проверки доступен по адресу https://user.arm-matrix.ru. Документация размещается на странице https://arm-matrix.ru/docs.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29"/>
        <w:gridCol w:w="4929"/>
      </w:tblGrid>
      <w:tr>
        <w:trPr>
          <w:cantSplit/>
        </w:trPr>
        <w:tc>
          <w:tcPr>
            <w:tcW w:type="dxa" w:w="4929"/>
            <w:vAlign w:val="center"/>
            <w:shd w:fill="EDEDED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b/>
                <w:sz w:val="18"/>
              </w:rPr>
            </w:r>
            <w:r>
              <w:rPr>
                <w:rFonts w:ascii="Arial" w:hAnsi="Arial" w:eastAsia="Arial"/>
                <w:b/>
                <w:sz w:val="18"/>
              </w:rPr>
              <w:t>Параметр</w:t>
            </w:r>
          </w:p>
        </w:tc>
        <w:tc>
          <w:tcPr>
            <w:tcW w:type="dxa" w:w="4929"/>
            <w:vAlign w:val="center"/>
            <w:shd w:fill="EDEDED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b/>
                <w:sz w:val="18"/>
              </w:rPr>
            </w:r>
            <w:r>
              <w:rPr>
                <w:rFonts w:ascii="Arial" w:hAnsi="Arial" w:eastAsia="Arial"/>
                <w:b/>
                <w:sz w:val="18"/>
              </w:rPr>
              <w:t>Значение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Адрес кабинета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https://user.arm-matrix.ru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Тестовый логин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checkuser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Тестовый пароль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%EXPu7mCsh&lt;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Протокол доступа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HTTPS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Локальная установка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не требуется</w:t>
            </w:r>
          </w:p>
        </w:tc>
      </w:tr>
    </w:tbl>
    <w:p>
      <w:pPr>
        <w:jc w:val="left"/>
      </w:pPr>
    </w:p>
    <w:p>
      <w:pPr>
        <w:pStyle w:val="Heading1"/>
      </w:pPr>
      <w:r>
        <w:rPr>
          <w:rFonts w:ascii="Arial" w:hAnsi="Arial" w:eastAsia="Arial"/>
          <w:sz w:val="22"/>
        </w:rPr>
        <w:t>5. Авторизация и завершение работы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Открыть в браузере адрес https://user.arm-matrix.ru.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Ввести тестовый логин и пароль в форме авторизации.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Нажать кнопку входа и дождаться загрузки дашборда.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После завершения работы открыть меню профиля и выбрать действие выхода из учетной записи.</w:t>
      </w:r>
    </w:p>
    <w:p>
      <w:pPr>
        <w:pStyle w:val="Heading1"/>
      </w:pPr>
      <w:r>
        <w:rPr>
          <w:rFonts w:ascii="Arial" w:hAnsi="Arial" w:eastAsia="Arial"/>
          <w:sz w:val="22"/>
        </w:rPr>
        <w:t>6. Главное окно и навигация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Главное окно содержит боковую или верхнюю навигацию, рабочую область выбранного раздела, элементы фильтрации, панель действий и информационные уведомления. Пользователь переходит между разделами без установки дополнительного программного обеспечения.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29"/>
        <w:gridCol w:w="4929"/>
      </w:tblGrid>
      <w:tr>
        <w:trPr>
          <w:cantSplit/>
        </w:trPr>
        <w:tc>
          <w:tcPr>
            <w:tcW w:type="dxa" w:w="4929"/>
            <w:vAlign w:val="center"/>
            <w:shd w:fill="EDEDED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b/>
                <w:sz w:val="18"/>
              </w:rPr>
            </w:r>
            <w:r>
              <w:rPr>
                <w:rFonts w:ascii="Arial" w:hAnsi="Arial" w:eastAsia="Arial"/>
                <w:b/>
                <w:sz w:val="18"/>
              </w:rPr>
              <w:t>Раздел</w:t>
            </w:r>
          </w:p>
        </w:tc>
        <w:tc>
          <w:tcPr>
            <w:tcW w:type="dxa" w:w="4929"/>
            <w:vAlign w:val="center"/>
            <w:shd w:fill="EDEDED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b/>
                <w:sz w:val="18"/>
              </w:rPr>
            </w:r>
            <w:r>
              <w:rPr>
                <w:rFonts w:ascii="Arial" w:hAnsi="Arial" w:eastAsia="Arial"/>
                <w:b/>
                <w:sz w:val="18"/>
              </w:rPr>
              <w:t>Назначение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Дашборд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сводные показатели по сотрудникам, компетенциям, командам, дефициту навыков и динамике оценок.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Сотрудники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реестр сотрудников с профилями, подразделениями, ролями, опытом и текущими компетенциями.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Компетенции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каталог hard skills и soft skills с уровнями владения, описаниями и критериями оценки.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Матрица навыков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визуальное представление компетенций сотрудников и команд для анализа покрытия задач.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Команды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структура рабочих групп, распределение участников и текущий кадровый потенциал.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Подбор команды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подбор состава группы под задачу с учетом навыков, доступности и взаимозаменяемости.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Оценка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проведение и фиксация результатов оценки компетенций по заданным шкалам.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Карьерные треки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планирование образовательных и карьерных траекторий сотрудников.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Аналитика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анализ дефицита навыков, профилей команд, сильных зон и рисков кадрового покрытия.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Отчеты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формирование отчетов по компетенциям, сотрудникам, командам и результатам оценки.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Журнал событий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фиксация действий пользователей и изменений в профилях, оценках и настройках.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Настройки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управление справочниками, шкалами оценивания, ролями и параметрами экземпляра.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Профиль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просмотр учетной записи пользователя и персональных параметров.</w:t>
            </w:r>
          </w:p>
        </w:tc>
      </w:tr>
    </w:tbl>
    <w:p>
      <w:pPr>
        <w:jc w:val="left"/>
      </w:pPr>
    </w:p>
    <w:p>
      <w:pPr>
        <w:pStyle w:val="Heading1"/>
      </w:pPr>
      <w:r>
        <w:rPr>
          <w:rFonts w:ascii="Arial" w:hAnsi="Arial" w:eastAsia="Arial"/>
          <w:sz w:val="22"/>
        </w:rPr>
        <w:t>7. Работа с основными разделами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Работа с основными разделами строится по единой логике: пользователь открывает раздел, применяет фильтры, создает или изменяет запись, сохраняет результат и проверяет отображение данных в списке, карточке или аналитическом блоке.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аудит и цифровой реестр операционных компетенций сотрудников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построение матрицы навыков по сотрудникам и командам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оценка hard skills и soft skills по заданным шкалам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автоматизированное формирование рабочих групп под задачи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расчет дефицита навыков и зон кадрового риска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визуализация карты взаимозаменяемости персонала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планирование карьерных и образовательных траекторий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аналитика кадрового потенциала, отчеты и журнал событий</w:t>
      </w:r>
    </w:p>
    <w:p>
      <w:pPr>
        <w:pStyle w:val="Heading1"/>
      </w:pPr>
      <w:r>
        <w:rPr>
          <w:rFonts w:ascii="Arial" w:hAnsi="Arial" w:eastAsia="Arial"/>
          <w:sz w:val="22"/>
        </w:rPr>
        <w:t>8. Формирование отчетов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Отчеты формируются на основании данных, внесенных пользователями в кабинете. Пользователь выбирает период, параметры фильтрации и тип отчета, после чего система отображает результат в интерфейсе. При наличии прав доступа отчет может быть сохранен или использован для внутреннего управленческого анализа.</w:t>
      </w:r>
    </w:p>
    <w:p>
      <w:pPr>
        <w:pStyle w:val="Heading1"/>
      </w:pPr>
      <w:r>
        <w:rPr>
          <w:rFonts w:ascii="Arial" w:hAnsi="Arial" w:eastAsia="Arial"/>
          <w:sz w:val="22"/>
        </w:rPr>
        <w:t>9. Журнал событий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Журнал событий предназначен для фиксации значимых действий пользователей и системных операций. В журнале отражаются события создания, изменения, назначения, завершения, авторизации и изменения настроек. Журнал повышает прозрачность эксплуатации экземпляра ПО.</w:t>
      </w:r>
    </w:p>
    <w:p>
      <w:pPr>
        <w:pStyle w:val="Heading1"/>
      </w:pPr>
      <w:r>
        <w:rPr>
          <w:rFonts w:ascii="Arial" w:hAnsi="Arial" w:eastAsia="Arial"/>
          <w:sz w:val="22"/>
        </w:rPr>
        <w:t>10. Типовые действия пользователя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29"/>
        <w:gridCol w:w="4929"/>
      </w:tblGrid>
      <w:tr>
        <w:trPr>
          <w:cantSplit/>
        </w:trPr>
        <w:tc>
          <w:tcPr>
            <w:tcW w:type="dxa" w:w="4929"/>
            <w:vAlign w:val="center"/>
            <w:shd w:fill="EDEDED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b/>
                <w:sz w:val="18"/>
              </w:rPr>
            </w:r>
            <w:r>
              <w:rPr>
                <w:rFonts w:ascii="Arial" w:hAnsi="Arial" w:eastAsia="Arial"/>
                <w:b/>
                <w:sz w:val="18"/>
              </w:rPr>
              <w:t>Сценарий</w:t>
            </w:r>
          </w:p>
        </w:tc>
        <w:tc>
          <w:tcPr>
            <w:tcW w:type="dxa" w:w="4929"/>
            <w:vAlign w:val="center"/>
            <w:shd w:fill="EDEDED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b/>
                <w:sz w:val="18"/>
              </w:rPr>
            </w:r>
            <w:r>
              <w:rPr>
                <w:rFonts w:ascii="Arial" w:hAnsi="Arial" w:eastAsia="Arial"/>
                <w:b/>
                <w:sz w:val="18"/>
              </w:rPr>
              <w:t>Последовательность действий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Первичный вход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открыть кабинет, авторизоваться, проверить дашборд и доступные разделы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Создание записи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выбрать профильный раздел, нажать действие создания, заполнить обязательные поля, сохранить запись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Контроль статуса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открыть список записей, применить фильтры, проверить карточку и историю изменений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Получение аналитики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открыть раздел аналитики или отчетов, выбрать период и параметры отображения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Завершение работы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перейти в профиль и выполнить выход из учетной записи</w:t>
            </w:r>
          </w:p>
        </w:tc>
      </w:tr>
    </w:tbl>
    <w:p>
      <w:pPr>
        <w:jc w:val="left"/>
      </w:pPr>
    </w:p>
    <w:p>
      <w:pPr>
        <w:pStyle w:val="Heading1"/>
      </w:pPr>
      <w:r>
        <w:rPr>
          <w:rFonts w:ascii="Arial" w:hAnsi="Arial" w:eastAsia="Arial"/>
          <w:sz w:val="22"/>
        </w:rPr>
        <w:t>11. Сообщения и возможные ошибки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286"/>
        <w:gridCol w:w="3286"/>
        <w:gridCol w:w="3286"/>
      </w:tblGrid>
      <w:tr>
        <w:trPr>
          <w:cantSplit/>
        </w:trPr>
        <w:tc>
          <w:tcPr>
            <w:tcW w:type="dxa" w:w="3286"/>
            <w:vAlign w:val="center"/>
            <w:shd w:fill="EDEDED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b/>
                <w:sz w:val="18"/>
              </w:rPr>
            </w:r>
            <w:r>
              <w:rPr>
                <w:rFonts w:ascii="Arial" w:hAnsi="Arial" w:eastAsia="Arial"/>
                <w:b/>
                <w:sz w:val="18"/>
              </w:rPr>
              <w:t>Сообщение или ситуация</w:t>
            </w:r>
          </w:p>
        </w:tc>
        <w:tc>
          <w:tcPr>
            <w:tcW w:type="dxa" w:w="3286"/>
            <w:vAlign w:val="center"/>
            <w:shd w:fill="EDEDED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b/>
                <w:sz w:val="18"/>
              </w:rPr>
            </w:r>
            <w:r>
              <w:rPr>
                <w:rFonts w:ascii="Arial" w:hAnsi="Arial" w:eastAsia="Arial"/>
                <w:b/>
                <w:sz w:val="18"/>
              </w:rPr>
              <w:t>Возможная причина</w:t>
            </w:r>
          </w:p>
        </w:tc>
        <w:tc>
          <w:tcPr>
            <w:tcW w:type="dxa" w:w="3286"/>
            <w:vAlign w:val="center"/>
            <w:shd w:fill="EDEDED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b/>
                <w:sz w:val="18"/>
              </w:rPr>
            </w:r>
            <w:r>
              <w:rPr>
                <w:rFonts w:ascii="Arial" w:hAnsi="Arial" w:eastAsia="Arial"/>
                <w:b/>
                <w:sz w:val="18"/>
              </w:rPr>
              <w:t>Действие пользователя</w:t>
            </w:r>
          </w:p>
        </w:tc>
      </w:tr>
      <w:tr>
        <w:trPr>
          <w:cantSplit/>
        </w:trPr>
        <w:tc>
          <w:tcPr>
            <w:tcW w:type="dxa" w:w="3286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Неверный логин или пароль</w:t>
            </w:r>
          </w:p>
        </w:tc>
        <w:tc>
          <w:tcPr>
            <w:tcW w:type="dxa" w:w="3286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ошибка ввода учетных данных</w:t>
            </w:r>
          </w:p>
        </w:tc>
        <w:tc>
          <w:tcPr>
            <w:tcW w:type="dxa" w:w="3286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проверить раскладку клавиатуры и повторно ввести данные</w:t>
            </w:r>
          </w:p>
        </w:tc>
      </w:tr>
      <w:tr>
        <w:trPr>
          <w:cantSplit/>
        </w:trPr>
        <w:tc>
          <w:tcPr>
            <w:tcW w:type="dxa" w:w="3286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Нет доступа к разделу</w:t>
            </w:r>
          </w:p>
        </w:tc>
        <w:tc>
          <w:tcPr>
            <w:tcW w:type="dxa" w:w="3286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роль пользователя не предусматривает работу с разделом</w:t>
            </w:r>
          </w:p>
        </w:tc>
        <w:tc>
          <w:tcPr>
            <w:tcW w:type="dxa" w:w="3286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обратиться к администратору экземпляра</w:t>
            </w:r>
          </w:p>
        </w:tc>
      </w:tr>
      <w:tr>
        <w:trPr>
          <w:cantSplit/>
        </w:trPr>
        <w:tc>
          <w:tcPr>
            <w:tcW w:type="dxa" w:w="3286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Данные не отображаются</w:t>
            </w:r>
          </w:p>
        </w:tc>
        <w:tc>
          <w:tcPr>
            <w:tcW w:type="dxa" w:w="3286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применены фильтры или отсутствуют записи</w:t>
            </w:r>
          </w:p>
        </w:tc>
        <w:tc>
          <w:tcPr>
            <w:tcW w:type="dxa" w:w="3286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изменить фильтры или создать запись в соответствующем разделе</w:t>
            </w:r>
          </w:p>
        </w:tc>
      </w:tr>
      <w:tr>
        <w:trPr>
          <w:cantSplit/>
        </w:trPr>
        <w:tc>
          <w:tcPr>
            <w:tcW w:type="dxa" w:w="3286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Ошибка сохранения</w:t>
            </w:r>
          </w:p>
        </w:tc>
        <w:tc>
          <w:tcPr>
            <w:tcW w:type="dxa" w:w="3286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не заполнены обязательные поля или нарушен формат данных</w:t>
            </w:r>
          </w:p>
        </w:tc>
        <w:tc>
          <w:tcPr>
            <w:tcW w:type="dxa" w:w="3286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проверить подсказки формы и повторить сохранение</w:t>
            </w:r>
          </w:p>
        </w:tc>
      </w:tr>
      <w:tr>
        <w:trPr>
          <w:cantSplit/>
        </w:trPr>
        <w:tc>
          <w:tcPr>
            <w:tcW w:type="dxa" w:w="3286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Сеанс завершен</w:t>
            </w:r>
          </w:p>
        </w:tc>
        <w:tc>
          <w:tcPr>
            <w:tcW w:type="dxa" w:w="3286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истек срок активности сессии</w:t>
            </w:r>
          </w:p>
        </w:tc>
        <w:tc>
          <w:tcPr>
            <w:tcW w:type="dxa" w:w="3286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повторно пройти авторизацию</w:t>
            </w:r>
          </w:p>
        </w:tc>
      </w:tr>
    </w:tbl>
    <w:p>
      <w:pPr>
        <w:jc w:val="left"/>
      </w:pPr>
    </w:p>
    <w:sectPr w:rsidR="00FC693F" w:rsidRPr="0006063C" w:rsidSect="00034616">
      <w:footerReference w:type="default" r:id="rId9"/>
      <w:footerReference w:type="first" r:id="rId10"/>
      <w:footerReference w:type="even" r:id="rId11"/>
      <w:headerReference w:type="default" r:id="rId12"/>
      <w:headerReference w:type="first" r:id="rId13"/>
      <w:headerReference w:type="even" r:id="rId14"/>
      <w:pgSz w:w="12240" w:h="15840"/>
      <w:pgMar w:top="1134" w:right="1134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8"/>
      </w:rPr>
      <w:t>ИП Смыченко А. Е. Программный комплекс / программный продукт «МАТРИЦА НАВЫКОВ»</w:t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8"/>
      </w:rPr>
      <w:t>ИП Смыченко А. Е. Программный комплекс / программный продукт «МАТРИЦА НАВЫКОВ»</w:t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8"/>
      </w:rPr>
      <w:t>ИП Смыченко А. Е. Программный комплекс / программный продукт «МАТРИЦА НАВЫКОВ»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000000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0000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b/>
      <w:color w:val="000000"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10" Type="http://schemas.openxmlformats.org/officeDocument/2006/relationships/footer" Target="footer2.xml"/><Relationship Id="rId11" Type="http://schemas.openxmlformats.org/officeDocument/2006/relationships/footer" Target="footer3.xml"/><Relationship Id="rId12" Type="http://schemas.openxmlformats.org/officeDocument/2006/relationships/header" Target="header1.xml"/><Relationship Id="rId13" Type="http://schemas.openxmlformats.org/officeDocument/2006/relationships/header" Target="head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